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cs="Times New Roman" w:asciiTheme="minorEastAsia" w:hAnsiTheme="minorEastAsia"/>
          <w:b/>
          <w:bCs/>
          <w:kern w:val="44"/>
          <w:sz w:val="44"/>
          <w:szCs w:val="44"/>
        </w:rPr>
      </w:pPr>
      <w:bookmarkStart w:id="0" w:name="_Toc35393813"/>
      <w:r>
        <w:rPr>
          <w:rFonts w:hint="eastAsia" w:cs="Times New Roman" w:asciiTheme="minorEastAsia" w:hAnsiTheme="minorEastAsia"/>
          <w:b/>
          <w:bCs/>
          <w:kern w:val="44"/>
          <w:sz w:val="44"/>
          <w:szCs w:val="44"/>
        </w:rPr>
        <w:t>更正公告</w:t>
      </w:r>
      <w:bookmarkEnd w:id="0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1"/>
        <w:rPr>
          <w:rFonts w:cs="宋体" w:asciiTheme="majorEastAsia" w:hAnsiTheme="majorEastAsia" w:eastAsiaTheme="majorEastAsia"/>
          <w:bCs/>
          <w:sz w:val="24"/>
          <w:szCs w:val="24"/>
        </w:rPr>
      </w:pPr>
      <w:bookmarkStart w:id="1" w:name="_Toc28359027"/>
      <w:bookmarkStart w:id="2" w:name="_Toc35393814"/>
      <w:bookmarkStart w:id="3" w:name="_Toc35393645"/>
      <w:bookmarkStart w:id="4" w:name="_Toc28359104"/>
      <w:r>
        <w:rPr>
          <w:rFonts w:hint="eastAsia" w:cs="宋体" w:asciiTheme="majorEastAsia" w:hAnsiTheme="majorEastAsia" w:eastAsiaTheme="majorEastAsia"/>
          <w:bCs/>
          <w:sz w:val="24"/>
          <w:szCs w:val="24"/>
        </w:rPr>
        <w:t>一、项目基本情况</w:t>
      </w:r>
      <w:bookmarkEnd w:id="1"/>
      <w:bookmarkEnd w:id="2"/>
      <w:bookmarkEnd w:id="3"/>
      <w:bookmarkEnd w:id="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10" w:leftChars="100" w:firstLine="240" w:firstLineChars="100"/>
        <w:textAlignment w:val="auto"/>
        <w:rPr>
          <w:rFonts w:hint="eastAsia" w:cs="Times New Roman" w:asciiTheme="majorEastAsia" w:hAnsiTheme="majorEastAsia" w:eastAsiaTheme="majorEastAsia"/>
          <w:sz w:val="24"/>
          <w:szCs w:val="24"/>
          <w:u w:val="single"/>
          <w:lang w:val="en-US" w:eastAsia="zh-CN"/>
        </w:rPr>
      </w:pPr>
      <w:r>
        <w:rPr>
          <w:rFonts w:hint="eastAsia" w:cs="Times New Roman" w:asciiTheme="majorEastAsia" w:hAnsiTheme="majorEastAsia" w:eastAsiaTheme="majorEastAsia"/>
          <w:sz w:val="24"/>
          <w:szCs w:val="24"/>
        </w:rPr>
        <w:t>原公告的采购项目名称：</w:t>
      </w:r>
      <w:r>
        <w:rPr>
          <w:rFonts w:hint="eastAsia" w:cs="Times New Roman" w:asciiTheme="majorEastAsia" w:hAnsiTheme="majorEastAsia" w:eastAsiaTheme="majorEastAsia"/>
          <w:sz w:val="24"/>
          <w:szCs w:val="24"/>
          <w:u w:val="single"/>
          <w:lang w:val="en-US" w:eastAsia="zh-CN"/>
        </w:rPr>
        <w:t>启东市自来水厂南阳镇供水服务站监控采购与安装项目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10" w:leftChars="100" w:firstLine="240" w:firstLineChars="100"/>
        <w:textAlignment w:val="auto"/>
        <w:rPr>
          <w:rFonts w:cs="Times New Roman" w:asciiTheme="majorEastAsia" w:hAnsiTheme="majorEastAsia" w:eastAsiaTheme="majorEastAsia"/>
          <w:sz w:val="24"/>
          <w:szCs w:val="24"/>
        </w:rPr>
      </w:pPr>
      <w:r>
        <w:rPr>
          <w:rFonts w:hint="eastAsia" w:cs="Times New Roman" w:asciiTheme="majorEastAsia" w:hAnsiTheme="majorEastAsia" w:eastAsiaTheme="majorEastAsia"/>
          <w:sz w:val="24"/>
          <w:szCs w:val="24"/>
        </w:rPr>
        <w:t>首次公告日期：</w:t>
      </w:r>
      <w:r>
        <w:rPr>
          <w:rFonts w:hint="eastAsia" w:cs="Times New Roman" w:asciiTheme="majorEastAsia" w:hAnsiTheme="majorEastAsia" w:eastAsiaTheme="majorEastAsia"/>
          <w:sz w:val="24"/>
          <w:szCs w:val="24"/>
          <w:u w:val="single"/>
        </w:rPr>
        <w:t>202</w:t>
      </w:r>
      <w:r>
        <w:rPr>
          <w:rFonts w:hint="eastAsia" w:cs="Times New Roman" w:asciiTheme="majorEastAsia" w:hAnsiTheme="majorEastAsia" w:eastAsiaTheme="majorEastAsia"/>
          <w:sz w:val="24"/>
          <w:szCs w:val="24"/>
          <w:u w:val="single"/>
          <w:lang w:val="en-US" w:eastAsia="zh-CN"/>
        </w:rPr>
        <w:t>3</w:t>
      </w:r>
      <w:r>
        <w:rPr>
          <w:rFonts w:hint="eastAsia" w:cs="Times New Roman" w:asciiTheme="majorEastAsia" w:hAnsiTheme="majorEastAsia" w:eastAsiaTheme="majorEastAsia"/>
          <w:sz w:val="24"/>
          <w:szCs w:val="24"/>
          <w:u w:val="single"/>
        </w:rPr>
        <w:t>年</w:t>
      </w:r>
      <w:r>
        <w:rPr>
          <w:rFonts w:hint="eastAsia" w:cs="Times New Roman" w:asciiTheme="majorEastAsia" w:hAnsiTheme="majorEastAsia" w:eastAsiaTheme="majorEastAsia"/>
          <w:sz w:val="24"/>
          <w:szCs w:val="24"/>
          <w:u w:val="single"/>
          <w:lang w:val="en-US" w:eastAsia="zh-CN"/>
        </w:rPr>
        <w:t>05</w:t>
      </w:r>
      <w:r>
        <w:rPr>
          <w:rFonts w:hint="eastAsia" w:cs="Times New Roman" w:asciiTheme="majorEastAsia" w:hAnsiTheme="majorEastAsia" w:eastAsiaTheme="majorEastAsia"/>
          <w:sz w:val="24"/>
          <w:szCs w:val="24"/>
          <w:u w:val="single"/>
        </w:rPr>
        <w:t>月</w:t>
      </w:r>
      <w:r>
        <w:rPr>
          <w:rFonts w:hint="eastAsia" w:cs="Times New Roman" w:asciiTheme="majorEastAsia" w:hAnsiTheme="majorEastAsia" w:eastAsiaTheme="majorEastAsia"/>
          <w:sz w:val="24"/>
          <w:szCs w:val="24"/>
          <w:u w:val="single"/>
          <w:lang w:val="en-US" w:eastAsia="zh-CN"/>
        </w:rPr>
        <w:t>18</w:t>
      </w:r>
      <w:r>
        <w:rPr>
          <w:rFonts w:hint="eastAsia" w:cs="Times New Roman" w:asciiTheme="majorEastAsia" w:hAnsiTheme="majorEastAsia" w:eastAsiaTheme="majorEastAsia"/>
          <w:sz w:val="24"/>
          <w:szCs w:val="24"/>
          <w:u w:val="single"/>
        </w:rPr>
        <w:t>日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1"/>
        <w:rPr>
          <w:rFonts w:cs="宋体" w:asciiTheme="majorEastAsia" w:hAnsiTheme="majorEastAsia" w:eastAsiaTheme="majorEastAsia"/>
          <w:bCs/>
          <w:sz w:val="24"/>
          <w:szCs w:val="24"/>
        </w:rPr>
      </w:pPr>
      <w:bookmarkStart w:id="5" w:name="_Toc35393815"/>
      <w:bookmarkStart w:id="6" w:name="_Toc28359105"/>
      <w:bookmarkStart w:id="7" w:name="_Toc28359028"/>
      <w:bookmarkStart w:id="8" w:name="_Toc35393646"/>
      <w:r>
        <w:rPr>
          <w:rFonts w:hint="eastAsia" w:cs="宋体" w:asciiTheme="majorEastAsia" w:hAnsiTheme="majorEastAsia" w:eastAsiaTheme="majorEastAsia"/>
          <w:bCs/>
          <w:sz w:val="24"/>
          <w:szCs w:val="24"/>
        </w:rPr>
        <w:t>二、更正信息</w:t>
      </w:r>
      <w:bookmarkEnd w:id="5"/>
      <w:bookmarkEnd w:id="6"/>
      <w:bookmarkEnd w:id="7"/>
      <w:bookmarkEnd w:id="8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cs="Times New Roman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eastAsia" w:cs="Times New Roman" w:asciiTheme="majorEastAsia" w:hAnsiTheme="majorEastAsia" w:eastAsiaTheme="majorEastAsia"/>
          <w:sz w:val="24"/>
          <w:szCs w:val="24"/>
          <w:lang w:val="en-US" w:eastAsia="zh-CN"/>
        </w:rPr>
        <w:t>更正事项：询价文件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cs="Times New Roman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eastAsia" w:cs="Times New Roman" w:asciiTheme="majorEastAsia" w:hAnsiTheme="majorEastAsia" w:eastAsiaTheme="majorEastAsia"/>
          <w:sz w:val="24"/>
          <w:szCs w:val="24"/>
          <w:lang w:val="en-US" w:eastAsia="zh-CN"/>
        </w:rPr>
        <w:t>更正内容：1、对采购需求中的视频NVR服务器、双网口录像机参数进行更正，具体详见下表：</w:t>
      </w:r>
    </w:p>
    <w:tbl>
      <w:tblPr>
        <w:tblStyle w:val="12"/>
        <w:tblW w:w="88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104"/>
        <w:gridCol w:w="3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1" w:type="dxa"/>
          </w:tcPr>
          <w:p>
            <w:pPr>
              <w:pStyle w:val="3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名称</w:t>
            </w:r>
          </w:p>
        </w:tc>
        <w:tc>
          <w:tcPr>
            <w:tcW w:w="4104" w:type="dxa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原参数</w:t>
            </w:r>
          </w:p>
        </w:tc>
        <w:tc>
          <w:tcPr>
            <w:tcW w:w="3910" w:type="dxa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更正后参数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>
            <w:pPr>
              <w:pStyle w:val="3"/>
              <w:rPr>
                <w:rFonts w:hint="eastAsia" w:ascii="宋体" w:hAnsi="宋体" w:eastAsia="宋体" w:cs="宋体"/>
                <w:b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1"/>
                <w:szCs w:val="21"/>
                <w:lang w:val="en-US" w:eastAsia="zh-CN" w:bidi="ar-SA"/>
              </w:rPr>
              <w:t>视频NVR服务器</w:t>
            </w:r>
          </w:p>
        </w:tc>
        <w:tc>
          <w:tcPr>
            <w:tcW w:w="4104" w:type="dxa"/>
          </w:tcPr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个HDMI接口、1个VGA接口、1个千兆以太网口、3个USB2.0接口（其中2个为前置）、内置4个SATA硬盘接口；1路RCA音频输入接口、1路RCA音频输出接口；16路报警输入接口、4路报警输出接口。其中HDMI和VGA接口可同源输出视频图像，1个HDMI或1个VGA接口之间可异源输出视频图像，并可分别控制进行预览、回放、配置等操作，且均可显示系统主菜单。</w:t>
            </w:r>
          </w:p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可接入1T、2T、3T、4T、6T、8T、10T容量的SATA接口硬盘；</w:t>
            </w:r>
          </w:p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最大接入路数：32路。满负载条件下的最大接入带宽160Mbps、最大存储带宽128Mbps、最大转发带宽128Mbps。</w:t>
            </w:r>
          </w:p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★2.支持开启SVC解码功能，可同时回放5路400W分辨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率、H.264/H.265编码格式的视频图像，解码总资源为10个1920×1080格式的视频图像。（投标时需提供公安部检验报告证明盖投标单位公章，中标后提供加盖原厂公章原件备查）</w:t>
            </w:r>
          </w:p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★3.可同时显示输出10路H.265/H.264编码、25fps、1920×1080格式的视频图像。 </w:t>
            </w:r>
          </w:p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录像文件自带水印，水印包括设备的序列号、MAC地址、录像时间等。（投标时需提供公安部检验报告证明盖投标单位公章，中标后提供加盖原厂公章原件备查）</w:t>
            </w:r>
          </w:p>
          <w:p>
            <w:pPr>
              <w:keepNext w:val="0"/>
              <w:keepLines w:val="0"/>
              <w:widowControl/>
              <w:suppressLineNumbers w:val="0"/>
              <w:spacing w:after="20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★4.支持接入高级移动侦测的相机，移动侦测报警能够区分是人、车还是其它目标产生，可录像和记录报警信息；（投标时需提供公安部检验报告证明盖投标单位公章，中标后提供加盖原厂公章原件备查）</w:t>
            </w:r>
          </w:p>
          <w:p>
            <w:pPr>
              <w:pStyle w:val="3"/>
              <w:spacing w:line="240" w:lineRule="auto"/>
              <w:rPr>
                <w:rFonts w:hint="eastAsia" w:ascii="宋体" w:hAnsi="宋体" w:eastAsia="宋体" w:cs="宋体"/>
                <w:b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5.接入警戒摄像机，支持对IPC的声音和闪光参数进行配置， 支持通过移动侦测、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区域入侵、越界侦测、进入区域和离开区域事件联动一个或多个IPC的声光报警，可以对声光联动一键撤防</w:t>
            </w:r>
          </w:p>
        </w:tc>
        <w:tc>
          <w:tcPr>
            <w:tcW w:w="3910" w:type="dxa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1.1个HDMI接口、1个VGA接口、1个千兆以太网口、3个USB2.0接口（其中2个为前置）、内置4个SATA硬盘接口；1路RCA音频输入接口、1路RCA音频输出接口；16路报警输入接口、4路报警输出接口。其中HDMI和VGA接口可同源输出视频图像，1个HDMI或1个VGA接口之间可异源输出视频图像，并可分别控制进行预览、回放、配置等操作，且均可显示系统主菜单。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可接入1T、2T、3T、4T、6T、8T、10T容量的SATA接口硬盘；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最大接入路数：32路。满负载条件下的最大接入带宽160Mbps、最大存储带宽128Mbps、最大转发带宽128Mbps。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★2.支持开启SVC解码功能，可同时回放5路400W分辨率、H.264/H.265编码格式的视频图像，解码总资源为10个1920×1080格式的视频图像。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（投标时需提供公安部检验报告证明盖投标单位公章，中标后提供加盖原厂公章原件备查）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★3.可同时显示输出10路H.265/H.264编码、25fps、1920×1080格式的视频图像。 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录像文件自带水印，水印包括设备的序列号、MAC地址、录像时间等。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（投标时需提供公安部检验报告证明盖投标单位公章，中标后提供加盖原厂公章原件备查）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★4.支持接入高级移动侦测的相机，移动侦测报警能够区分是人、车还是其它目标产生，可录像和记录报警信息；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（投标时需提供公安部检验报告证明盖投标单位公章，中标后提供加盖原厂公章原件备查）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5.接入警戒摄像机，支持对IPC的声音和闪光参数进行配置， 支持通过移动侦测、区域入侵、越界侦测、进入区域和离开区域事件联动一个或多个IPC的声光报警，可以对声光联动一键撤防</w:t>
            </w:r>
          </w:p>
          <w:p>
            <w:pPr>
              <w:rPr>
                <w:rFonts w:hint="eastAsia" w:ascii="宋体" w:hAnsi="宋体" w:eastAsia="宋体" w:cs="宋体"/>
                <w:b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</w:rPr>
              <w:t>★6.网络容错：可将多个网口设置同一IP地址，其中任一网口损坏时，仍能正常工作；</w:t>
            </w: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lang w:val="en-US" w:eastAsia="zh-CN"/>
              </w:rPr>
              <w:t>（投标时需提供公安部检验报告证明盖投标单位公章，中标后提供加盖原厂公章原件备查）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>
            <w:pPr>
              <w:pStyle w:val="3"/>
              <w:rPr>
                <w:rFonts w:hint="eastAsia" w:ascii="宋体" w:hAnsi="宋体" w:eastAsia="宋体" w:cs="宋体"/>
                <w:b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1"/>
                <w:szCs w:val="21"/>
                <w:lang w:val="en-US" w:eastAsia="zh-CN" w:bidi="ar-SA"/>
              </w:rPr>
              <w:t>双网口录像机</w:t>
            </w:r>
          </w:p>
        </w:tc>
        <w:tc>
          <w:tcPr>
            <w:tcW w:w="4104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1.具有1个HDMI接口、1个VGA接口、2个千兆以太网口、3个USB2.0接口（其中2个为前置）、内置4个SATA硬盘接口；1路RCA音频输入接口、1路RCA音频输出接口；16路报警输入接口、4路报警输出接口。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可接入1T、2T、3T、4T、6T、8T、10T容量的SATA接口硬盘；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最大接入路数：32路。满负载条件下的最大接入带宽160Mbps、最大存储带宽128Mbps、最大转发带宽128Mbps。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★2.支持开启S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VC解码功能，可同时回放5路400W分辨率、H.264/H.265编码格式的视频图像，解码总资源为10个1920×1080格式的视频图像。（投标时需提供公安部检验报告证明盖投标单位公章，中标后提供加盖原厂公章原件备查）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★3.可同时显示输出10路H.265/H.264编码、25fps、1920×1080格式的视频图像。 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录像文件自带水印，水印包括设备的序列号、MAC地址、录像时间等。（投标时需提供公安部检验报告证明盖投标单位公章，中标后提供加盖原厂公章原件备查）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★4.支持接入高级移动侦测的相机，移动侦测报警能够区分是人、车还是其它目标产生，可录像和记录报警信息；（投标时需提供公安部检验报告证明盖投标单位公章，中标后提供加盖原厂公章原件备查）</w:t>
            </w:r>
          </w:p>
          <w:p>
            <w:pPr>
              <w:pStyle w:val="3"/>
              <w:spacing w:line="240" w:lineRule="auto"/>
              <w:rPr>
                <w:rFonts w:hint="eastAsia" w:ascii="宋体" w:hAnsi="宋体" w:eastAsia="宋体" w:cs="宋体"/>
                <w:b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5.接入警戒摄像机，支持对IPC的声音和闪光参数进行配置， 支持通过移动侦测、区域入侵、越界侦测、进入区域和离开区域事件联动一个或多个IPC的声光报警，可以对声光联动一键撤防</w:t>
            </w:r>
          </w:p>
        </w:tc>
        <w:tc>
          <w:tcPr>
            <w:tcW w:w="3910" w:type="dxa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1.1个HDMI接口、1个VGA接口、1个千兆以太网口、3个USB2.0接口（其中2个为前置）、内置4个SATA硬盘接口；1路RCA音频输入接口、1路RCA音频输出接口；</w:t>
            </w: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</w:rPr>
              <w:t>2个RJ45网络接口、</w:t>
            </w: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16路报警输入接口、4路报警输出接口。其中HDMI和VGA接口可同源输出视频图像，1个HDMI或1个VGA接口之间可异源输出视频图像，并可分别控制进行预览、回放、配置等操作，且均可显示系统主菜单。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可接入1T、2T、3T、4T、6T、8T、10T容量的SATA接口硬盘；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最大接入路数：32路。满负载条件下的最大接入带宽160Mbps、最大存储带宽128Mbps、最大转发带宽128Mbps。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2.支持开启SVC解码功能，可同时回放5路400W分辨率、H.264/H.265编码格式的视频图像，解码总资源为10个1920×1080格式的视频图像。）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3.可同时显示输出10路H.265/H.264编码、25fps、1920×1080格式的视频图像。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录像文件自带水印，水印包括设备的序列号、MAC地址、录像时间等。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4.支持接入高级移动侦测的相机，移动侦测报警能够区分是人、车还是其它目标产生，可录像和记录报警信息；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 xml:space="preserve"> 5.接入警戒摄像机，支持对IPC的声音和闪光参数进行配置， 支持通过移动侦测、区域入侵、越界侦测、进入区域和离开区域事件联动一个或多个IPC的声光报警，可以对声光联动一键撤防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FF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★</w:t>
            </w: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</w:rPr>
              <w:t>6、样机可在预览界面随意选择一个或多个通道，在预警面板实时展示此通道的目标抓拍信息，包括：事件名称、事件触发时间、人脸抓图；针对人脸比对同时显示姓名、相似度；针对车辆报警同时显示车牌；针对人体和车辆目标，可分别显示“人体”、“车辆”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 xml:space="preserve"> （需提供公安部检验报告证明盖投标单位公章，中标后提供加盖原厂公章原件备查</w:t>
            </w:r>
          </w:p>
          <w:p>
            <w:pPr>
              <w:pStyle w:val="3"/>
              <w:spacing w:line="240" w:lineRule="auto"/>
              <w:rPr>
                <w:rFonts w:hint="eastAsia" w:ascii="宋体" w:hAnsi="宋体" w:eastAsia="宋体" w:cs="宋体"/>
                <w:b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★</w:t>
            </w: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</w:rPr>
              <w:t>7. 接入带有人体测温功能的IPC，支持在预览界面以卡片形式实时展示体温信息，体温正常为绿色，体温异常为红色，支持根据体温状态联动语音输出，语音支持“体温正常”、“体温异常”。支持按体温状态、温度范围检索人脸图片。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（需提供公安部检验报告证明盖投标单位公章，中标后提供加盖原厂公章原件备查</w:t>
            </w:r>
          </w:p>
        </w:tc>
      </w:tr>
    </w:tbl>
    <w:p>
      <w:pPr>
        <w:pStyle w:val="3"/>
        <w:ind w:firstLine="480" w:firstLineChars="200"/>
        <w:rPr>
          <w:rFonts w:hint="default" w:cs="Times New Roman" w:asciiTheme="majorEastAsia" w:hAnsiTheme="majorEastAsia" w:eastAsiaTheme="majorEastAsia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cs="Times New Roman" w:asciiTheme="majorEastAsia" w:hAnsiTheme="majorEastAsia" w:eastAsiaTheme="majorEastAsia"/>
          <w:b w:val="0"/>
          <w:kern w:val="2"/>
          <w:sz w:val="24"/>
          <w:szCs w:val="24"/>
          <w:lang w:val="en-US" w:eastAsia="zh-CN" w:bidi="ar-SA"/>
        </w:rPr>
        <w:t>2、采购需求的技术参数为最低要求，不得负偏离，否则作无效标处理。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79" w:leftChars="228" w:firstLine="0" w:firstLineChars="0"/>
        <w:textAlignment w:val="auto"/>
        <w:rPr>
          <w:rFonts w:hint="eastAsia" w:cs="Times New Roman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eastAsia" w:cs="Times New Roman" w:asciiTheme="majorEastAsia" w:hAnsiTheme="majorEastAsia" w:eastAsiaTheme="majorEastAsia"/>
          <w:sz w:val="24"/>
          <w:szCs w:val="24"/>
          <w:lang w:val="en-US" w:eastAsia="zh-CN"/>
        </w:rPr>
        <w:t>3、本项目获取采购文件及响应文件提交截止时间均顺延至2023年05月26日9时00分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79" w:leftChars="228" w:firstLine="0" w:firstLineChars="0"/>
        <w:textAlignment w:val="auto"/>
        <w:rPr>
          <w:rFonts w:hint="eastAsia" w:cs="Times New Roman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eastAsia" w:cs="Times New Roman" w:asciiTheme="majorEastAsia" w:hAnsiTheme="majorEastAsia" w:eastAsiaTheme="majorEastAsia"/>
          <w:sz w:val="24"/>
          <w:szCs w:val="24"/>
          <w:lang w:val="en-US" w:eastAsia="zh-CN"/>
        </w:rPr>
        <w:t>4、开标时间：2023年05月26日9时00分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79" w:leftChars="228" w:firstLine="0" w:firstLineChars="0"/>
        <w:textAlignment w:val="auto"/>
        <w:rPr>
          <w:rFonts w:hint="eastAsia" w:cs="Times New Roman" w:asciiTheme="majorEastAsia" w:hAnsiTheme="majorEastAsia" w:eastAsiaTheme="majorEastAsia"/>
          <w:sz w:val="24"/>
          <w:szCs w:val="24"/>
          <w:u w:val="single"/>
          <w:lang w:val="en-US" w:eastAsia="zh-CN"/>
        </w:rPr>
      </w:pPr>
      <w:r>
        <w:rPr>
          <w:rFonts w:hint="eastAsia" w:cs="Times New Roman" w:asciiTheme="majorEastAsia" w:hAnsiTheme="majorEastAsia" w:eastAsiaTheme="majorEastAsia"/>
          <w:sz w:val="24"/>
          <w:szCs w:val="24"/>
          <w:lang w:val="en-US" w:eastAsia="zh-CN"/>
        </w:rPr>
        <w:t>更正日期：</w:t>
      </w:r>
      <w:r>
        <w:rPr>
          <w:rFonts w:hint="eastAsia" w:cs="Times New Roman" w:asciiTheme="majorEastAsia" w:hAnsiTheme="majorEastAsia" w:eastAsiaTheme="majorEastAsia"/>
          <w:sz w:val="24"/>
          <w:szCs w:val="24"/>
          <w:u w:val="single"/>
          <w:lang w:val="en-US" w:eastAsia="zh-CN"/>
        </w:rPr>
        <w:t xml:space="preserve"> 2023年05月22日</w:t>
      </w:r>
      <w:bookmarkStart w:id="9" w:name="_Toc35393816"/>
      <w:bookmarkStart w:id="10" w:name="_Toc35393647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79" w:leftChars="228" w:firstLine="0" w:firstLineChars="0"/>
        <w:textAlignment w:val="auto"/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</w:pPr>
      <w:r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  <w:t>三、</w:t>
      </w:r>
      <w:bookmarkEnd w:id="9"/>
      <w:bookmarkEnd w:id="10"/>
      <w:bookmarkStart w:id="11" w:name="_Toc35393817"/>
      <w:bookmarkStart w:id="12" w:name="_Toc28359029"/>
      <w:bookmarkStart w:id="13" w:name="_Toc28359106"/>
      <w:bookmarkStart w:id="14" w:name="_Toc35393648"/>
      <w:r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  <w:t>以上更正调整内容为询价采购文件组成部分，对各投标供应商均有约束力，其他事项仍按询价采购文件要求执行。本项目已按规定发布更正公告，如投标供应商未能及时关注本项目相关信息公告，由此造成的一切损失由投标供应商自行承担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79" w:leftChars="228" w:firstLine="0" w:firstLineChars="0"/>
        <w:textAlignment w:val="auto"/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</w:pPr>
      <w:r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  <w:t>四、凡对本次公告内容提出询问，请按以下方式联系。</w:t>
      </w:r>
      <w:bookmarkEnd w:id="11"/>
      <w:bookmarkEnd w:id="12"/>
      <w:bookmarkEnd w:id="13"/>
      <w:bookmarkEnd w:id="14"/>
      <w:bookmarkStart w:id="15" w:name="_Toc35393651"/>
      <w:bookmarkStart w:id="16" w:name="_Toc28359109"/>
      <w:bookmarkStart w:id="17" w:name="_Toc35393820"/>
      <w:bookmarkStart w:id="18" w:name="_Toc28359032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79" w:leftChars="228" w:firstLine="0" w:firstLineChars="0"/>
        <w:textAlignment w:val="auto"/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</w:pPr>
      <w:r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  <w:t>1、采购人信息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79" w:leftChars="228" w:firstLine="0" w:firstLineChars="0"/>
        <w:textAlignment w:val="auto"/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</w:pPr>
      <w:r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  <w:t>名称：启东市自来水厂有限公司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79" w:leftChars="228" w:firstLine="0" w:firstLineChars="0"/>
        <w:textAlignment w:val="auto"/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</w:pPr>
      <w:r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  <w:t>联系人：黄哲远   联系电话：</w:t>
      </w:r>
      <w:bookmarkEnd w:id="15"/>
      <w:bookmarkEnd w:id="16"/>
      <w:bookmarkEnd w:id="17"/>
      <w:bookmarkEnd w:id="18"/>
      <w:r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  <w:t>15962894908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79" w:leftChars="228" w:firstLine="0" w:firstLineChars="0"/>
        <w:textAlignment w:val="auto"/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</w:pPr>
      <w:r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  <w:t>2.招标代理：上海碧凌工程咨询有限公司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79" w:leftChars="228" w:firstLine="0" w:firstLineChars="0"/>
        <w:textAlignment w:val="auto"/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</w:pPr>
      <w:r>
        <w:rPr>
          <w:rFonts w:hint="eastAsia" w:cs="宋体" w:asciiTheme="majorEastAsia" w:hAnsiTheme="majorEastAsia" w:eastAsiaTheme="majorEastAsia"/>
          <w:bCs/>
          <w:sz w:val="24"/>
          <w:szCs w:val="24"/>
          <w:lang w:val="en-US" w:eastAsia="zh-CN"/>
        </w:rPr>
        <w:t>联系人：陈燕     联系电话：18932203970</w:t>
      </w:r>
    </w:p>
    <w:p>
      <w:pPr>
        <w:pStyle w:val="10"/>
        <w:jc w:val="right"/>
        <w:rPr>
          <w:rFonts w:hint="default" w:cs="Times New Roman" w:asciiTheme="majorEastAsia" w:hAnsiTheme="majorEastAsia" w:eastAsiaTheme="majorEastAsia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shd w:val="clear" w:color="auto" w:fill="FFFFFF"/>
        <w:spacing w:line="500" w:lineRule="atLeast"/>
        <w:rPr>
          <w:rFonts w:hint="eastAsia"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</w:rPr>
        <w:t>：</w:t>
      </w:r>
    </w:p>
    <w:p>
      <w:pPr>
        <w:pStyle w:val="2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eastAsia="zh-CN"/>
        </w:rPr>
        <w:t>启东市自来水厂南阳镇供水服务站监控采购与安装项目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报价明细表</w:t>
      </w:r>
    </w:p>
    <w:tbl>
      <w:tblPr>
        <w:tblStyle w:val="11"/>
        <w:tblW w:w="14376" w:type="dxa"/>
        <w:tblInd w:w="-2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206"/>
        <w:gridCol w:w="5715"/>
        <w:gridCol w:w="720"/>
        <w:gridCol w:w="870"/>
        <w:gridCol w:w="1155"/>
        <w:gridCol w:w="1155"/>
        <w:gridCol w:w="1455"/>
        <w:gridCol w:w="1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3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一、搬迁部分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工程数量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室内半球摄像机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南阳镇供水服务站旧机搬迁至新地点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包含拆机、安装、调试等费用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机柜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南阳镇供水服务站旧机搬迁至新地点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包含拆机、安装、调试等费用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录像机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南阳镇供水服务站旧机搬迁至新地点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包含拆机、安装、调试等费用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视频交换机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南阳镇供水服务站旧机搬迁至新地点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包含拆机、安装、调试等费用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配线架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南阳镇供水服务站旧机搬迁至新地点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包含拆机、安装、调试等费用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监视器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南阳镇供水服务站旧机搬迁至新地点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包含拆机、安装、调试等费用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UPS机组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南阳镇供水服务站旧机搬迁至新地点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包含拆机、安装、调试等费用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UPS电池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南阳镇供水服务站旧机搬迁至新地点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包含拆机、安装、调试等费用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电池箱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南阳镇供水服务站旧机搬迁至新地点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包含拆机、安装、调试等费用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室外屏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南阳镇供水服务站旧机搬迁至新地点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包含拆机、安装、调试等费用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室内大屏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南阳镇供水服务站旧机搬迁至新地点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包含拆机、安装、调试等费用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窗口屏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南阳镇供水服务站旧机搬迁至新地点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包含拆机、安装、调试等费用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3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  <w:t>二、新增部分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枪机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 300万像素1/2.7”CMOS星光级筒型网络摄像机，内置麦克风；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 最低照度：彩色≥0.0005 lx，黑白≥0.0001 lx；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 红外灯开启后，可识别摄像机100m处的人体轮廓；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 最大分辨率1920×1080，支持H.265、H.264、MJPEG编码协议；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5.具有宽动态自动切换功能，在环境亮度变化时，可自动在关闭和开启间进行切换；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6.在2304x1296下分辨力可达到1200TVL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7.信噪比不小于55dB、支持红外补光，有效补光距离达到50m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8.需支持IP66防尘防水。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9.支持DC12V或poe供电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10.内置1个麦克风，1个RJ45网络接口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11.靶面尺寸为1/2.7英寸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枪机电源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12v5A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控制箱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不锈钢400*300*180、IP67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工业交换机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1.配置：可用千兆电口数量≥8，可用千兆光口数量≥2、交换容量≥20 Gbps、转发性能≥14.88 Mpps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2.支持防护等级IP40、支持≥4K MAC地址表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3.支持无风扇设计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4.支持双电源输入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5.静电放电抗扰度等级（ESD）满足接触放电6kv，空气放电8kv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6.网口浪涌等级(Surge)满足6kv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7.支持-40℃到+75℃工作环境温度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拖线板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10插孔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空开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2P32A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视频NVR服务器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1.1个HDMI接口、1个VGA接口、1个千兆以太网口、3个USB2.0接口（其中2个为前置）、内置4个SATA硬盘接口；1路RCA音频输入接口、1路RCA音频输出接口；16路报警输入接口、4路报警输出接口。其中HDMI和VGA接口可同源输出视频图像，1个HDMI或1个VGA接口之间可异源输出视频图像，并可分别控制进行预览、回放、配置等操作，且均可显示系统主菜单。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可接入1T、2T、3T、4T、6T、8T、10T容量的SATA接口硬盘；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最大接入路数：32路。满负载条件下的最大接入带宽160Mbps、最大存储带宽128Mbps、最大转发带宽128Mbps。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★2.支持开启SVC解码功能，可同时回放5路400W分辨率、H.264/H.265编码格式的视频图像，解码总资源为10个1920×1080格式的视频图像。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（投标时需提供公安部检验报告证明盖投标单位公章，中标后提供加盖原厂公章原件备查）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★3.可同时显示输出10路H.265/H.264编码、25fps、1920×1080格式的视频图像。 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录像文件自带水印，水印包括设备的序列号、MAC地址、录像时间等。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（投标时需提供公安部检验报告证明盖投标单位公章，中标后提供加盖原厂公章原件备查）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★4.支持接入高级移动侦测的相机，移动侦测报警能够区分是人、车还是其它目标产生，可录像和记录报警信息；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（投标时需提供公安部检验报告证明盖投标单位公章，中标后提供加盖原厂公章原件备查）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5.接入警戒摄像机，支持对IPC的声音和闪光参数进行配置， 支持通过移动侦测、区域入侵、越界侦测、进入区域和离开区域事件联动一个或多个IPC的声光报警，可以对声光联动一键撤防</w:t>
            </w:r>
          </w:p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</w:rPr>
              <w:t>★6.网络容错：可将多个网口设置同一IP地址，其中任一网口损坏时，仍能正常工作；</w:t>
            </w: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lang w:val="en-US" w:eastAsia="zh-CN"/>
              </w:rPr>
              <w:t>（投标时需提供公安部检验报告证明盖投标单位公章，中标后提供加盖原厂公章原件备查）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监控专用硬盘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8000G；5900RPM；64M；SATA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层管交换机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1.配置：可用千兆PoE电接口数量≥24，千兆电口数量≥1，千兆光口数≥1、交换容量≥52 Gbps、转发性能≥38.69 Mpps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2.提供CQC认证证书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3.支持自适应802.3af/at供电标准，整机最大输出功率≥370 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4.支持6KV防浪涌（PoE口）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5.支持IEEE 802.3、IEEE 802.3u、IEEE 802.3x、IEEE802.3ab、IEEE802.3z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千兆单模光模块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千兆单模SFP光模块，波长1310nm，最大传输距离10km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双网口录像机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1.1个HDMI接口、1个VGA接口、1个千兆以太网口、3个USB2.0接口（其中2个为前置）、内置4个SATA硬盘接口；1路RCA音频输入接口、1路RCA音频输出接口；</w:t>
            </w: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</w:rPr>
              <w:t>2个RJ45网络接口、</w:t>
            </w: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16路报警输入接口、4路报警输出接口。其中HDMI和VGA接口可同源输出视频图像，1个HDMI或1个VGA接口之间可异源输出视频图像，并可分别控制进行预览、回放、配置等操作，且均可显示系统主菜单。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可接入1T、2T、3T、4T、6T、8T、10T容量的SATA接口硬盘；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最大接入路数：32路。满负载条件下的最大接入带宽160Mbps、最大存储带宽128Mbps、最大转发带宽128Mbps。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2.支持开启SVC解码功能，可同时回放5路400W分辨率、H.264/H.265编码格式的视频图像，解码总资源为10个1920×1080格式的视频图像。）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3.可同时显示输出10路H.265/H.264编码、25fps、1920×1080格式的视频图像。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录像文件自带水印，水印包括设备的序列号、MAC地址、录像时间等。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>4.支持接入高级移动侦测的相机，移动侦测报警能够区分是人、车还是其它目标产生，可录像和记录报警信息；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E2E2E"/>
                <w:kern w:val="0"/>
                <w:sz w:val="20"/>
                <w:szCs w:val="20"/>
              </w:rPr>
              <w:t xml:space="preserve"> 5.接入警戒摄像机，支持对IPC的声音和闪光参数进行配置， 支持通过移动侦测、区域入侵、越界侦测、进入区域和离开区域事件联动一个或多个IPC的声光报警，可以对声光联动一键撤防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FF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★</w:t>
            </w: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</w:rPr>
              <w:t>6、样机可在预览界面随意选择一个或多个通道，在预警面板实时展示此通道的目标抓拍信息，包括：事件名称、事件触发时间、人脸抓图；针对人脸比对同时显示姓名、相似度；针对车辆报警同时显示车牌；针对人体和车辆目标，可分别显示“人体”、“车辆”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 xml:space="preserve"> （需提供公安部检验报告证明盖投标单位公章，中标后提供加盖原厂公章原件备查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★</w:t>
            </w: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</w:rPr>
              <w:t>7. 接入带有人体测温功能的IPC，支持在预览界面以卡片形式实时展示体温信息，体温正常为绿色，体温异常为红色，支持根据体温状态联动语音输出，语音支持“体温正常”、“体温异常”。支持按体温状态、温度范围检索人脸图片。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（需提供公安部检验报告证明盖投标单位公章，中标后提供加盖原厂</w:t>
            </w:r>
            <w:bookmarkStart w:id="19" w:name="_GoBack"/>
            <w:bookmarkEnd w:id="19"/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公章原件备查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KVM视频切换器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支持3个HDMI 2.0接口；支持从视频信号接入至视频画面正常显示的延时应为≤6ms；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熔纤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监控系统软件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枪机支架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电源线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RVV2*2.5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网线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非屏蔽无氧铜标准六类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室外pvc线管、线槽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1寸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1350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光缆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多模4芯铠装防水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电源+网络防雷器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AC30V+RJ45，立杆内安装，防水、防潮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穿墙孔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辅料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扎带、管卡、膨胀螺丝、胶带等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43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注：报价包括本项目所有涉及的全部费用，如新机设备、标准附件、运输、安装调试；旧机拆、装、运输、调试；人员培训、质保、售后服务、税金及其他一切有关为完成本项目发生的所有费用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</w:tbl>
    <w:p>
      <w:pPr>
        <w:spacing w:line="400" w:lineRule="exac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pStyle w:val="6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报价</w:t>
      </w:r>
      <w:r>
        <w:rPr>
          <w:rFonts w:hint="eastAsia" w:ascii="宋体" w:hAnsi="宋体" w:eastAsia="宋体" w:cs="宋体"/>
          <w:sz w:val="28"/>
          <w:szCs w:val="28"/>
        </w:rPr>
        <w:t>单位（</w:t>
      </w:r>
      <w:r>
        <w:rPr>
          <w:rFonts w:hint="eastAsia" w:ascii="宋体" w:hAnsi="宋体" w:eastAsia="宋体" w:cs="宋体"/>
          <w:sz w:val="28"/>
          <w:szCs w:val="28"/>
          <w:u w:val="single"/>
        </w:rPr>
        <w:t>盖章</w:t>
      </w:r>
      <w:r>
        <w:rPr>
          <w:rFonts w:hint="eastAsia" w:ascii="宋体" w:hAnsi="宋体" w:eastAsia="宋体" w:cs="宋体"/>
          <w:sz w:val="28"/>
          <w:szCs w:val="28"/>
        </w:rPr>
        <w:t>）：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none"/>
        </w:rPr>
        <w:t xml:space="preserve">           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法定代表人或委托代理人（签字或盖章）：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</w:p>
    <w:p>
      <w:pPr>
        <w:pStyle w:val="6"/>
        <w:rPr>
          <w:rFonts w:hint="eastAsia" w:ascii="宋体" w:hAnsi="宋体" w:eastAsia="宋体" w:cs="宋体"/>
        </w:rPr>
      </w:pPr>
    </w:p>
    <w:p>
      <w:pPr>
        <w:spacing w:line="40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 xml:space="preserve">日 </w:t>
      </w:r>
    </w:p>
    <w:p>
      <w:pPr>
        <w:pStyle w:val="10"/>
        <w:jc w:val="right"/>
        <w:rPr>
          <w:rFonts w:hint="default" w:cs="Times New Roman" w:asciiTheme="majorEastAsia" w:hAnsiTheme="majorEastAsia" w:eastAsiaTheme="majorEastAsia"/>
          <w:sz w:val="24"/>
          <w:szCs w:val="24"/>
          <w:lang w:val="en-US" w:eastAsia="zh-CN"/>
        </w:rPr>
      </w:pPr>
    </w:p>
    <w:sectPr>
      <w:pgSz w:w="16838" w:h="11906" w:orient="landscape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5MDk5NDZiYmM1Njc0MzFiYWYwNmQ2OTU2Y2U5ZGMifQ=="/>
  </w:docVars>
  <w:rsids>
    <w:rsidRoot w:val="0075353C"/>
    <w:rsid w:val="00223A55"/>
    <w:rsid w:val="0036396D"/>
    <w:rsid w:val="003B074A"/>
    <w:rsid w:val="0041703A"/>
    <w:rsid w:val="004C5F93"/>
    <w:rsid w:val="00572B3B"/>
    <w:rsid w:val="00580A3B"/>
    <w:rsid w:val="005D28E8"/>
    <w:rsid w:val="006234ED"/>
    <w:rsid w:val="006D73D9"/>
    <w:rsid w:val="0075353C"/>
    <w:rsid w:val="007F40A5"/>
    <w:rsid w:val="008374B5"/>
    <w:rsid w:val="008B296C"/>
    <w:rsid w:val="008E582E"/>
    <w:rsid w:val="00904887"/>
    <w:rsid w:val="009E655F"/>
    <w:rsid w:val="009F5C45"/>
    <w:rsid w:val="00A101FD"/>
    <w:rsid w:val="00A313AE"/>
    <w:rsid w:val="00A378F9"/>
    <w:rsid w:val="00A409ED"/>
    <w:rsid w:val="00A6774A"/>
    <w:rsid w:val="00B353BC"/>
    <w:rsid w:val="00B55242"/>
    <w:rsid w:val="00C251BE"/>
    <w:rsid w:val="00D10A0B"/>
    <w:rsid w:val="00D229A5"/>
    <w:rsid w:val="00D47ACA"/>
    <w:rsid w:val="00D57E7A"/>
    <w:rsid w:val="00DB3637"/>
    <w:rsid w:val="00DC2934"/>
    <w:rsid w:val="00EC7CFE"/>
    <w:rsid w:val="00ED1029"/>
    <w:rsid w:val="00ED375E"/>
    <w:rsid w:val="00F05AAD"/>
    <w:rsid w:val="00F17C28"/>
    <w:rsid w:val="00FB2B5A"/>
    <w:rsid w:val="00FB4A51"/>
    <w:rsid w:val="02247ACE"/>
    <w:rsid w:val="035A307B"/>
    <w:rsid w:val="03914498"/>
    <w:rsid w:val="05392BC8"/>
    <w:rsid w:val="05E25B87"/>
    <w:rsid w:val="0667442D"/>
    <w:rsid w:val="072F1AD2"/>
    <w:rsid w:val="07A43F9A"/>
    <w:rsid w:val="08FA1588"/>
    <w:rsid w:val="09C37BCC"/>
    <w:rsid w:val="0CE57E5A"/>
    <w:rsid w:val="0D8E6B48"/>
    <w:rsid w:val="0EEC12F5"/>
    <w:rsid w:val="12C22DFD"/>
    <w:rsid w:val="13572FBA"/>
    <w:rsid w:val="136C2DAB"/>
    <w:rsid w:val="14132703"/>
    <w:rsid w:val="151C7F6C"/>
    <w:rsid w:val="176E1668"/>
    <w:rsid w:val="1A187AC0"/>
    <w:rsid w:val="1A783457"/>
    <w:rsid w:val="1B026305"/>
    <w:rsid w:val="1BA16B93"/>
    <w:rsid w:val="1CA82F91"/>
    <w:rsid w:val="1CE26E73"/>
    <w:rsid w:val="1DDA61B6"/>
    <w:rsid w:val="20617890"/>
    <w:rsid w:val="20B91311"/>
    <w:rsid w:val="22C63C28"/>
    <w:rsid w:val="23186143"/>
    <w:rsid w:val="23D802BC"/>
    <w:rsid w:val="24AE58AC"/>
    <w:rsid w:val="24BD7E5A"/>
    <w:rsid w:val="26FA0970"/>
    <w:rsid w:val="2A85135D"/>
    <w:rsid w:val="2CE55FD7"/>
    <w:rsid w:val="2DAE3070"/>
    <w:rsid w:val="31091BCD"/>
    <w:rsid w:val="315653A8"/>
    <w:rsid w:val="31FE21D5"/>
    <w:rsid w:val="32C84A74"/>
    <w:rsid w:val="359871BA"/>
    <w:rsid w:val="36B06CF4"/>
    <w:rsid w:val="37737C8C"/>
    <w:rsid w:val="39321EB8"/>
    <w:rsid w:val="3A1A5C49"/>
    <w:rsid w:val="3B7A783B"/>
    <w:rsid w:val="3D761418"/>
    <w:rsid w:val="3DF77869"/>
    <w:rsid w:val="3F4B281E"/>
    <w:rsid w:val="410905BE"/>
    <w:rsid w:val="41C87B36"/>
    <w:rsid w:val="438A680A"/>
    <w:rsid w:val="45717F85"/>
    <w:rsid w:val="46272F7E"/>
    <w:rsid w:val="463468C6"/>
    <w:rsid w:val="47AB5220"/>
    <w:rsid w:val="48004D48"/>
    <w:rsid w:val="49DB13C4"/>
    <w:rsid w:val="49F13985"/>
    <w:rsid w:val="49FE095C"/>
    <w:rsid w:val="4AB94C27"/>
    <w:rsid w:val="4C1B2975"/>
    <w:rsid w:val="4DFF1C65"/>
    <w:rsid w:val="4E5C1522"/>
    <w:rsid w:val="4F4C4487"/>
    <w:rsid w:val="4FEA3979"/>
    <w:rsid w:val="506C594A"/>
    <w:rsid w:val="51644DBE"/>
    <w:rsid w:val="523A4419"/>
    <w:rsid w:val="52862B12"/>
    <w:rsid w:val="529C2335"/>
    <w:rsid w:val="53D04373"/>
    <w:rsid w:val="53DD2C05"/>
    <w:rsid w:val="564B02FA"/>
    <w:rsid w:val="57051FB4"/>
    <w:rsid w:val="58780726"/>
    <w:rsid w:val="590649AC"/>
    <w:rsid w:val="59266B02"/>
    <w:rsid w:val="59C96464"/>
    <w:rsid w:val="59CC3500"/>
    <w:rsid w:val="5AF23839"/>
    <w:rsid w:val="5AF45755"/>
    <w:rsid w:val="5B1C7B22"/>
    <w:rsid w:val="5BF97330"/>
    <w:rsid w:val="5DFC7AE8"/>
    <w:rsid w:val="5E1D616A"/>
    <w:rsid w:val="61041CE9"/>
    <w:rsid w:val="61581B1D"/>
    <w:rsid w:val="61743D05"/>
    <w:rsid w:val="63624ED5"/>
    <w:rsid w:val="64DA4E67"/>
    <w:rsid w:val="65752C9E"/>
    <w:rsid w:val="68811502"/>
    <w:rsid w:val="6ACF021C"/>
    <w:rsid w:val="6C270A6A"/>
    <w:rsid w:val="6C540D66"/>
    <w:rsid w:val="6D897DC0"/>
    <w:rsid w:val="6EA204A0"/>
    <w:rsid w:val="6F0A6411"/>
    <w:rsid w:val="70070104"/>
    <w:rsid w:val="73931615"/>
    <w:rsid w:val="759E3629"/>
    <w:rsid w:val="797B5EB9"/>
    <w:rsid w:val="79D1687A"/>
    <w:rsid w:val="79DE4E5E"/>
    <w:rsid w:val="7CBF7AAB"/>
    <w:rsid w:val="7DD606BD"/>
    <w:rsid w:val="7EDA3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qFormat="1" w:uiPriority="99" w:semiHidden="0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4">
    <w:name w:val="Body Text Indent"/>
    <w:basedOn w:val="1"/>
    <w:next w:val="5"/>
    <w:qFormat/>
    <w:uiPriority w:val="0"/>
    <w:pPr>
      <w:spacing w:line="260" w:lineRule="exact"/>
      <w:ind w:firstLine="286" w:firstLineChars="119"/>
    </w:pPr>
    <w:rPr>
      <w:rFonts w:ascii="仿宋_GB2312" w:eastAsia="仿宋_GB2312"/>
      <w:sz w:val="24"/>
    </w:r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paragraph" w:styleId="7">
    <w:name w:val="footer"/>
    <w:basedOn w:val="1"/>
    <w:link w:val="2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10">
    <w:name w:val="Body Text First Indent 2"/>
    <w:basedOn w:val="4"/>
    <w:qFormat/>
    <w:uiPriority w:val="0"/>
    <w:pPr>
      <w:ind w:firstLine="420" w:firstLineChars="200"/>
    </w:pPr>
  </w:style>
  <w:style w:type="table" w:styleId="12">
    <w:name w:val="Table Grid"/>
    <w:basedOn w:val="11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FollowedHyperlink"/>
    <w:basedOn w:val="13"/>
    <w:semiHidden/>
    <w:unhideWhenUsed/>
    <w:qFormat/>
    <w:uiPriority w:val="99"/>
    <w:rPr>
      <w:color w:val="800080"/>
      <w:u w:val="none"/>
    </w:rPr>
  </w:style>
  <w:style w:type="character" w:styleId="15">
    <w:name w:val="HTML Definition"/>
    <w:basedOn w:val="13"/>
    <w:semiHidden/>
    <w:unhideWhenUsed/>
    <w:qFormat/>
    <w:uiPriority w:val="99"/>
  </w:style>
  <w:style w:type="character" w:styleId="16">
    <w:name w:val="HTML Typewriter"/>
    <w:basedOn w:val="13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17">
    <w:name w:val="HTML Acronym"/>
    <w:basedOn w:val="13"/>
    <w:semiHidden/>
    <w:unhideWhenUsed/>
    <w:qFormat/>
    <w:uiPriority w:val="99"/>
  </w:style>
  <w:style w:type="character" w:styleId="18">
    <w:name w:val="HTML Variable"/>
    <w:basedOn w:val="13"/>
    <w:semiHidden/>
    <w:unhideWhenUsed/>
    <w:qFormat/>
    <w:uiPriority w:val="99"/>
  </w:style>
  <w:style w:type="character" w:styleId="19">
    <w:name w:val="Hyperlink"/>
    <w:basedOn w:val="13"/>
    <w:semiHidden/>
    <w:unhideWhenUsed/>
    <w:qFormat/>
    <w:uiPriority w:val="99"/>
    <w:rPr>
      <w:color w:val="0000FF"/>
      <w:u w:val="none"/>
    </w:rPr>
  </w:style>
  <w:style w:type="character" w:styleId="20">
    <w:name w:val="HTML Code"/>
    <w:basedOn w:val="13"/>
    <w:semiHidden/>
    <w:unhideWhenUsed/>
    <w:qFormat/>
    <w:uiPriority w:val="99"/>
    <w:rPr>
      <w:rFonts w:ascii="monospace" w:hAnsi="monospace" w:eastAsia="monospace" w:cs="monospace"/>
      <w:sz w:val="20"/>
    </w:rPr>
  </w:style>
  <w:style w:type="character" w:styleId="21">
    <w:name w:val="HTML Cite"/>
    <w:basedOn w:val="13"/>
    <w:semiHidden/>
    <w:unhideWhenUsed/>
    <w:qFormat/>
    <w:uiPriority w:val="99"/>
  </w:style>
  <w:style w:type="character" w:styleId="22">
    <w:name w:val="HTML Keyboard"/>
    <w:basedOn w:val="13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23">
    <w:name w:val="HTML Sample"/>
    <w:basedOn w:val="13"/>
    <w:semiHidden/>
    <w:unhideWhenUsed/>
    <w:qFormat/>
    <w:uiPriority w:val="99"/>
    <w:rPr>
      <w:rFonts w:hint="default" w:ascii="monospace" w:hAnsi="monospace" w:eastAsia="monospace" w:cs="monospace"/>
    </w:rPr>
  </w:style>
  <w:style w:type="character" w:customStyle="1" w:styleId="24">
    <w:name w:val="页眉 Char"/>
    <w:basedOn w:val="13"/>
    <w:link w:val="8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页脚 Char"/>
    <w:basedOn w:val="13"/>
    <w:link w:val="7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6">
    <w:name w:val="p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27">
    <w:name w:val="hover"/>
    <w:basedOn w:val="13"/>
    <w:qFormat/>
    <w:uiPriority w:val="0"/>
    <w:rPr>
      <w:color w:val="FFFFFF"/>
    </w:rPr>
  </w:style>
  <w:style w:type="character" w:customStyle="1" w:styleId="28">
    <w:name w:val="hover1"/>
    <w:basedOn w:val="13"/>
    <w:qFormat/>
    <w:uiPriority w:val="0"/>
    <w:rPr>
      <w:color w:val="5FB878"/>
    </w:rPr>
  </w:style>
  <w:style w:type="character" w:customStyle="1" w:styleId="29">
    <w:name w:val="hover2"/>
    <w:basedOn w:val="13"/>
    <w:qFormat/>
    <w:uiPriority w:val="0"/>
    <w:rPr>
      <w:color w:val="5FB878"/>
    </w:rPr>
  </w:style>
  <w:style w:type="paragraph" w:customStyle="1" w:styleId="3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character" w:customStyle="1" w:styleId="31">
    <w:name w:val="hover3"/>
    <w:basedOn w:val="13"/>
    <w:qFormat/>
    <w:uiPriority w:val="0"/>
    <w:rPr>
      <w:color w:val="5FB878"/>
    </w:rPr>
  </w:style>
  <w:style w:type="character" w:customStyle="1" w:styleId="32">
    <w:name w:val="hover4"/>
    <w:basedOn w:val="13"/>
    <w:qFormat/>
    <w:uiPriority w:val="0"/>
    <w:rPr>
      <w:color w:val="FFFFFF"/>
    </w:rPr>
  </w:style>
  <w:style w:type="character" w:customStyle="1" w:styleId="33">
    <w:name w:val="first-child"/>
    <w:basedOn w:val="13"/>
    <w:qFormat/>
    <w:uiPriority w:val="0"/>
  </w:style>
  <w:style w:type="character" w:customStyle="1" w:styleId="34">
    <w:name w:val="layui-this"/>
    <w:basedOn w:val="13"/>
    <w:qFormat/>
    <w:uiPriority w:val="0"/>
    <w:rPr>
      <w:bdr w:val="single" w:color="EEEEEE" w:sz="6" w:space="0"/>
      <w:shd w:val="clear" w:fill="FFFFFF"/>
    </w:rPr>
  </w:style>
  <w:style w:type="character" w:customStyle="1" w:styleId="35">
    <w:name w:val="layui-this2"/>
    <w:basedOn w:val="13"/>
    <w:qFormat/>
    <w:uiPriority w:val="0"/>
    <w:rPr>
      <w:bdr w:val="single" w:color="EEEEEE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4</Pages>
  <Words>2949</Words>
  <Characters>3445</Characters>
  <Lines>3</Lines>
  <Paragraphs>1</Paragraphs>
  <TotalTime>0</TotalTime>
  <ScaleCrop>false</ScaleCrop>
  <LinksUpToDate>false</LinksUpToDate>
  <CharactersWithSpaces>3464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2020-09-29T07:06:00Z</dcterms:created>
  <dc:creator>Administrator</dc:creator>
  <cp:lastModifiedBy>9877</cp:lastModifiedBy>
  <dcterms:modified xsi:type="dcterms:W3CDTF">2023-05-22T05:56:48Z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7A608E40D23745799B3B74F99739CE9A</vt:lpwstr>
  </property>
</Properties>
</file>